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8C9B7" w14:textId="77777777" w:rsidR="00FD338A" w:rsidRDefault="00FD338A" w:rsidP="00FD338A">
      <w:pPr>
        <w:jc w:val="center"/>
        <w:rPr>
          <w:rFonts w:ascii="Arial" w:hAnsi="Arial" w:cs="Arial"/>
        </w:rPr>
      </w:pPr>
      <w:r w:rsidRPr="00CE6B4A">
        <w:rPr>
          <w:rFonts w:ascii="Arial" w:hAnsi="Arial" w:cs="Arial"/>
        </w:rPr>
        <w:t>Friends of Nixon</w:t>
      </w:r>
      <w:r>
        <w:rPr>
          <w:rFonts w:ascii="Arial" w:hAnsi="Arial" w:cs="Arial"/>
        </w:rPr>
        <w:t xml:space="preserve">   </w:t>
      </w:r>
      <w:r>
        <w:rPr>
          <w:rFonts w:ascii="Arial" w:hAnsi="Arial" w:cs="Arial"/>
          <w:noProof/>
          <w:lang w:eastAsia="en-GB"/>
        </w:rPr>
        <w:drawing>
          <wp:inline distT="0" distB="0" distL="0" distR="0" wp14:anchorId="0E73CBAF" wp14:editId="0B59BDE3">
            <wp:extent cx="2181225" cy="1059153"/>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8002" cy="1067300"/>
                    </a:xfrm>
                    <a:prstGeom prst="rect">
                      <a:avLst/>
                    </a:prstGeom>
                    <a:noFill/>
                    <a:ln>
                      <a:noFill/>
                    </a:ln>
                  </pic:spPr>
                </pic:pic>
              </a:graphicData>
            </a:graphic>
          </wp:inline>
        </w:drawing>
      </w:r>
      <w:r w:rsidRPr="00CE6B4A">
        <w:rPr>
          <w:rFonts w:ascii="Arial" w:hAnsi="Arial" w:cs="Arial"/>
        </w:rPr>
        <w:t xml:space="preserve"> Charity no. 1145455</w:t>
      </w:r>
    </w:p>
    <w:p w14:paraId="4DBF0A20" w14:textId="6E00CC79" w:rsidR="005E30EB" w:rsidRPr="005E30EB" w:rsidRDefault="00FD338A" w:rsidP="00172EB8">
      <w:pPr>
        <w:jc w:val="center"/>
      </w:pPr>
      <w:hyperlink r:id="rId6" w:history="1">
        <w:r w:rsidRPr="00FE0C6B">
          <w:rPr>
            <w:rStyle w:val="Hyperlink"/>
            <w:rFonts w:ascii="Arial" w:hAnsi="Arial" w:cs="Arial"/>
          </w:rPr>
          <w:t>www.friendsofnixon.org</w:t>
        </w:r>
      </w:hyperlink>
    </w:p>
    <w:p w14:paraId="13613EE6" w14:textId="1D4B516D" w:rsidR="005E30EB" w:rsidRPr="005E30EB" w:rsidRDefault="00AF5FB9" w:rsidP="005E30EB">
      <w:pPr>
        <w:jc w:val="center"/>
        <w:rPr>
          <w:rFonts w:ascii="Arial" w:hAnsi="Arial" w:cs="Arial"/>
          <w:b/>
          <w:bCs/>
        </w:rPr>
      </w:pPr>
      <w:r w:rsidRPr="00AF5FB9">
        <w:rPr>
          <w:rFonts w:ascii="Arial" w:hAnsi="Arial" w:cs="Arial"/>
          <w:b/>
          <w:bCs/>
        </w:rPr>
        <w:t xml:space="preserve">Friends of Nixon Memorial Hospital, </w:t>
      </w:r>
      <w:proofErr w:type="spellStart"/>
      <w:r w:rsidRPr="00AF5FB9">
        <w:rPr>
          <w:rFonts w:ascii="Arial" w:hAnsi="Arial" w:cs="Arial"/>
          <w:b/>
          <w:bCs/>
        </w:rPr>
        <w:t>Segbwema</w:t>
      </w:r>
      <w:proofErr w:type="spellEnd"/>
      <w:r w:rsidRPr="00AF5FB9">
        <w:rPr>
          <w:rFonts w:ascii="Arial" w:hAnsi="Arial" w:cs="Arial"/>
          <w:b/>
          <w:bCs/>
        </w:rPr>
        <w:t>, Sierra Leone</w:t>
      </w:r>
    </w:p>
    <w:p w14:paraId="3EBB1CB3" w14:textId="34F45241" w:rsidR="005E30EB" w:rsidRPr="005E30EB" w:rsidRDefault="00AF5FB9" w:rsidP="005E30EB">
      <w:pPr>
        <w:ind w:left="2880" w:firstLine="720"/>
        <w:rPr>
          <w:rFonts w:ascii="Arial" w:hAnsi="Arial" w:cs="Arial"/>
        </w:rPr>
      </w:pPr>
      <w:r w:rsidRPr="00AF5FB9">
        <w:rPr>
          <w:rFonts w:ascii="Arial" w:hAnsi="Arial" w:cs="Arial"/>
        </w:rPr>
        <w:t xml:space="preserve">Fourteenth Annual Report </w:t>
      </w:r>
      <w:r w:rsidR="005E30EB">
        <w:rPr>
          <w:rFonts w:ascii="Arial" w:hAnsi="Arial" w:cs="Arial"/>
        </w:rPr>
        <w:tab/>
      </w:r>
      <w:r w:rsidR="005E30EB">
        <w:rPr>
          <w:rFonts w:ascii="Arial" w:hAnsi="Arial" w:cs="Arial"/>
        </w:rPr>
        <w:tab/>
      </w:r>
      <w:r w:rsidRPr="00AF5FB9">
        <w:rPr>
          <w:rFonts w:ascii="Arial" w:hAnsi="Arial" w:cs="Arial"/>
        </w:rPr>
        <w:t xml:space="preserve"> </w:t>
      </w:r>
      <w:r w:rsidR="005E30EB">
        <w:rPr>
          <w:rFonts w:ascii="Arial" w:hAnsi="Arial" w:cs="Arial"/>
        </w:rPr>
        <w:t xml:space="preserve">               </w:t>
      </w:r>
      <w:r w:rsidRPr="00AF5FB9">
        <w:rPr>
          <w:rFonts w:ascii="Arial" w:hAnsi="Arial" w:cs="Arial"/>
        </w:rPr>
        <w:t>29 November 2025</w:t>
      </w:r>
    </w:p>
    <w:p w14:paraId="051296B1" w14:textId="14B6AA97" w:rsidR="00511924" w:rsidRPr="005E30EB" w:rsidRDefault="00511924" w:rsidP="00511924">
      <w:pPr>
        <w:rPr>
          <w:rFonts w:ascii="Arial" w:hAnsi="Arial" w:cs="Arial"/>
          <w:b/>
          <w:bCs/>
        </w:rPr>
      </w:pPr>
      <w:r w:rsidRPr="00511924">
        <w:rPr>
          <w:rFonts w:ascii="Arial" w:hAnsi="Arial" w:cs="Arial"/>
          <w:b/>
          <w:bCs/>
        </w:rPr>
        <w:t xml:space="preserve">Introduction </w:t>
      </w:r>
    </w:p>
    <w:p w14:paraId="6C701119" w14:textId="19D46AD1" w:rsidR="00511924" w:rsidRPr="00511924" w:rsidRDefault="00511924" w:rsidP="00511924">
      <w:pPr>
        <w:rPr>
          <w:rFonts w:ascii="Arial" w:hAnsi="Arial" w:cs="Arial"/>
        </w:rPr>
      </w:pPr>
      <w:r w:rsidRPr="00511924">
        <w:rPr>
          <w:rFonts w:ascii="Arial" w:hAnsi="Arial" w:cs="Arial"/>
        </w:rPr>
        <w:t xml:space="preserve">In 2025, we continued to meet our charitable objectives by strengthening Nixon Memorial Hospital’s infrastructure, supporting clinical services and education, and enabling practical international collaboration. The reopened Nixon nursing school, in partnership with Eastern Technical University of Sierra Leone, is developing its new foundations with an increased student intake and a stronger role within both the hospital and the wider community of </w:t>
      </w:r>
      <w:proofErr w:type="spellStart"/>
      <w:r w:rsidRPr="00511924">
        <w:rPr>
          <w:rFonts w:ascii="Arial" w:hAnsi="Arial" w:cs="Arial"/>
        </w:rPr>
        <w:t>Segbwema</w:t>
      </w:r>
      <w:proofErr w:type="spellEnd"/>
      <w:r w:rsidRPr="00511924">
        <w:rPr>
          <w:rFonts w:ascii="Arial" w:hAnsi="Arial" w:cs="Arial"/>
        </w:rPr>
        <w:t>. Throughout a period of change in the hospital’s local management, we have been able to provide stability, continuity, and institutional memory. We aim to facilitate support and guidance whilst preserving the autonomy of the hospital to lead in delivering healthcare to its population.</w:t>
      </w:r>
    </w:p>
    <w:p w14:paraId="684D4970" w14:textId="77777777" w:rsidR="00511924" w:rsidRPr="005E30EB" w:rsidRDefault="00511924" w:rsidP="00511924">
      <w:pPr>
        <w:rPr>
          <w:rFonts w:ascii="Arial" w:hAnsi="Arial" w:cs="Arial"/>
          <w:b/>
          <w:bCs/>
        </w:rPr>
      </w:pPr>
      <w:r w:rsidRPr="00511924">
        <w:rPr>
          <w:rFonts w:ascii="Arial" w:hAnsi="Arial" w:cs="Arial"/>
          <w:b/>
          <w:bCs/>
        </w:rPr>
        <w:t xml:space="preserve">Governance and stability </w:t>
      </w:r>
    </w:p>
    <w:p w14:paraId="224CD0F0" w14:textId="352BB1B5" w:rsidR="00511924" w:rsidRPr="00511924" w:rsidRDefault="00511924" w:rsidP="00511924">
      <w:pPr>
        <w:rPr>
          <w:rFonts w:ascii="Arial" w:hAnsi="Arial" w:cs="Arial"/>
        </w:rPr>
      </w:pPr>
      <w:r w:rsidRPr="00511924">
        <w:rPr>
          <w:rFonts w:ascii="Arial" w:hAnsi="Arial" w:cs="Arial"/>
        </w:rPr>
        <w:t>In July, two trustees visited the hospital to meet the new management team, review current projects, and confirm effective ways of working. Regular communication with hospital leadership, clinical staff, and local suppliers has continued, enabling timely responses to operational needs and ensuring our support aligns with local priorities. Volunteer and trustee visits remain central to project oversight, risk management, and learning. In June 2025, trustees completed a structured SWOT review of the charity (Strengths, Weaknesses, Opportunities, and Threats). We noted strong, long-standing ties with the hospital; a trustee team with broad experience; strong networks; pragmatic collaboration; and stable funds. We also acknowledged areas to improve, including clarifying our role within hospital structures, enhancing administrative and monitoring capacity, strengthening communication channels, and agreeing clearer parameters for longer-term joint planning. We see significant opportunities in building academic and research links in Sierra Leone, widening our funding base, and expanding nursing education. We continue to monitor key risks such as succession planning, institutional and economic instability, donor fatigue, dependence on external funding, and the wider contextual environment of the hospital.</w:t>
      </w:r>
    </w:p>
    <w:p w14:paraId="497AEA10" w14:textId="77777777" w:rsidR="00511924" w:rsidRPr="005E30EB" w:rsidRDefault="00511924" w:rsidP="00511924">
      <w:pPr>
        <w:rPr>
          <w:rFonts w:ascii="Arial" w:hAnsi="Arial" w:cs="Arial"/>
          <w:b/>
          <w:bCs/>
        </w:rPr>
      </w:pPr>
      <w:r w:rsidRPr="00511924">
        <w:rPr>
          <w:rFonts w:ascii="Arial" w:hAnsi="Arial" w:cs="Arial"/>
          <w:b/>
          <w:bCs/>
        </w:rPr>
        <w:t xml:space="preserve">Fundraising and finance </w:t>
      </w:r>
    </w:p>
    <w:p w14:paraId="4B6524B3" w14:textId="61C7C698" w:rsidR="005E30EB" w:rsidRPr="00C70A1D" w:rsidRDefault="00511924" w:rsidP="00511924">
      <w:pPr>
        <w:rPr>
          <w:rFonts w:ascii="Arial" w:hAnsi="Arial" w:cs="Arial"/>
          <w:b/>
          <w:bCs/>
          <w:color w:val="C00000"/>
        </w:rPr>
      </w:pPr>
      <w:r w:rsidRPr="00511924">
        <w:rPr>
          <w:rFonts w:ascii="Arial" w:hAnsi="Arial" w:cs="Arial"/>
        </w:rPr>
        <w:t>Our financial position remains stable, with increased reserves reflecting substantial, multi-year restricted funding from the EJ Spice Charitable Trust for health education and electrical work over the next decade. Healthy reserves enable us to act sustainably and be ambitious when considering future projects. We could not continue our work without the persistent generosity from the many individual donors whose regular and one-off gifts underpin our work</w:t>
      </w:r>
      <w:r w:rsidR="009A62E5">
        <w:rPr>
          <w:rFonts w:ascii="Arial" w:hAnsi="Arial" w:cs="Arial"/>
        </w:rPr>
        <w:t>, t</w:t>
      </w:r>
      <w:r w:rsidRPr="00511924">
        <w:rPr>
          <w:rFonts w:ascii="Arial" w:hAnsi="Arial" w:cs="Arial"/>
        </w:rPr>
        <w:t>ogether with long-standing partner groups including the Stamford Methodist Church</w:t>
      </w:r>
      <w:r w:rsidR="001312B7">
        <w:rPr>
          <w:rFonts w:ascii="Arial" w:hAnsi="Arial" w:cs="Arial"/>
        </w:rPr>
        <w:t>,</w:t>
      </w:r>
      <w:r w:rsidRPr="00511924">
        <w:rPr>
          <w:rFonts w:ascii="Arial" w:hAnsi="Arial" w:cs="Arial"/>
        </w:rPr>
        <w:t xml:space="preserve"> </w:t>
      </w:r>
      <w:r w:rsidR="009A62E5">
        <w:rPr>
          <w:rFonts w:ascii="Arial" w:hAnsi="Arial" w:cs="Arial"/>
        </w:rPr>
        <w:t>T</w:t>
      </w:r>
      <w:r w:rsidRPr="00511924">
        <w:rPr>
          <w:rFonts w:ascii="Arial" w:hAnsi="Arial" w:cs="Arial"/>
        </w:rPr>
        <w:t>he Gibbs Trust</w:t>
      </w:r>
      <w:r w:rsidR="001312B7">
        <w:rPr>
          <w:rFonts w:ascii="Arial" w:hAnsi="Arial" w:cs="Arial"/>
        </w:rPr>
        <w:t xml:space="preserve"> and the Lancashire Methodist District. </w:t>
      </w:r>
      <w:r w:rsidRPr="00511924">
        <w:rPr>
          <w:rFonts w:ascii="Arial" w:hAnsi="Arial" w:cs="Arial"/>
        </w:rPr>
        <w:t>This support is not taken for granted</w:t>
      </w:r>
      <w:r w:rsidR="004421D3">
        <w:rPr>
          <w:rFonts w:ascii="Arial" w:hAnsi="Arial" w:cs="Arial"/>
        </w:rPr>
        <w:t xml:space="preserve"> and we ow</w:t>
      </w:r>
      <w:r w:rsidR="00AC734B">
        <w:rPr>
          <w:rFonts w:ascii="Arial" w:hAnsi="Arial" w:cs="Arial"/>
        </w:rPr>
        <w:t>e</w:t>
      </w:r>
      <w:r w:rsidR="009A62E5">
        <w:rPr>
          <w:rFonts w:ascii="Arial" w:hAnsi="Arial" w:cs="Arial"/>
        </w:rPr>
        <w:t xml:space="preserve"> a debt of gratitude </w:t>
      </w:r>
      <w:r w:rsidR="004421D3">
        <w:rPr>
          <w:rFonts w:ascii="Arial" w:hAnsi="Arial" w:cs="Arial"/>
        </w:rPr>
        <w:t xml:space="preserve">to </w:t>
      </w:r>
      <w:r w:rsidR="009A62E5">
        <w:rPr>
          <w:rFonts w:ascii="Arial" w:hAnsi="Arial" w:cs="Arial"/>
        </w:rPr>
        <w:t>each and every one of our donors</w:t>
      </w:r>
      <w:r w:rsidRPr="00511924">
        <w:rPr>
          <w:rFonts w:ascii="Arial" w:hAnsi="Arial" w:cs="Arial"/>
        </w:rPr>
        <w:t xml:space="preserve">. This year, we were also grateful for targeted support received from the Maurice &amp; Hilda Laing Foundation for </w:t>
      </w:r>
      <w:r w:rsidR="00427CCC">
        <w:rPr>
          <w:rFonts w:ascii="Arial" w:hAnsi="Arial" w:cs="Arial"/>
        </w:rPr>
        <w:t>the hospital’s work re-</w:t>
      </w:r>
      <w:r w:rsidR="00427CCC" w:rsidRPr="00C0611E">
        <w:rPr>
          <w:rFonts w:ascii="Arial" w:hAnsi="Arial" w:cs="Arial"/>
        </w:rPr>
        <w:t xml:space="preserve">establishing the </w:t>
      </w:r>
      <w:r w:rsidRPr="00C0611E">
        <w:rPr>
          <w:rFonts w:ascii="Arial" w:hAnsi="Arial" w:cs="Arial"/>
        </w:rPr>
        <w:t>nursing school</w:t>
      </w:r>
      <w:r w:rsidRPr="00511924">
        <w:rPr>
          <w:rFonts w:ascii="Arial" w:hAnsi="Arial" w:cs="Arial"/>
        </w:rPr>
        <w:t xml:space="preserve">. </w:t>
      </w:r>
    </w:p>
    <w:p w14:paraId="39B4F0AF" w14:textId="315CACFD" w:rsidR="00511924" w:rsidRPr="005E30EB" w:rsidRDefault="00511924" w:rsidP="00511924">
      <w:pPr>
        <w:rPr>
          <w:rFonts w:ascii="Arial" w:hAnsi="Arial" w:cs="Arial"/>
        </w:rPr>
      </w:pPr>
      <w:r w:rsidRPr="00511924">
        <w:rPr>
          <w:rFonts w:ascii="Arial" w:hAnsi="Arial" w:cs="Arial"/>
          <w:b/>
          <w:bCs/>
        </w:rPr>
        <w:t xml:space="preserve">Charitable activity and impact </w:t>
      </w:r>
    </w:p>
    <w:p w14:paraId="3A13432A" w14:textId="77777777" w:rsidR="00511924" w:rsidRPr="005E30EB" w:rsidRDefault="00511924" w:rsidP="00511924">
      <w:pPr>
        <w:rPr>
          <w:rFonts w:ascii="Arial" w:hAnsi="Arial" w:cs="Arial"/>
        </w:rPr>
      </w:pPr>
      <w:r w:rsidRPr="00511924">
        <w:rPr>
          <w:rFonts w:ascii="Arial" w:hAnsi="Arial" w:cs="Arial"/>
        </w:rPr>
        <w:t xml:space="preserve">Our feeding programme supporting children with malnutrition has evolved to provide targeted supplementary feeding for both outpatients and inpatients at the hospital, responding to increasing need and ensuring a consistent approach across services. To strengthen accountability and evaluation, we have requested and are reviewing improved data collection, which will help inform project monitoring and measure outcomes more reliably. </w:t>
      </w:r>
    </w:p>
    <w:p w14:paraId="133CC93F" w14:textId="237FD2E7" w:rsidR="00511924" w:rsidRPr="005E30EB" w:rsidRDefault="00511924" w:rsidP="00511924">
      <w:pPr>
        <w:rPr>
          <w:rFonts w:ascii="Arial" w:hAnsi="Arial" w:cs="Arial"/>
        </w:rPr>
      </w:pPr>
      <w:r w:rsidRPr="00511924">
        <w:rPr>
          <w:rFonts w:ascii="Arial" w:hAnsi="Arial" w:cs="Arial"/>
        </w:rPr>
        <w:lastRenderedPageBreak/>
        <w:t xml:space="preserve">To maintain improved and consistent patient access to medicines, we have continued our support directed towards the hospital pharmacy. This enables reliability of stock, responsive ordering, and a cost-effective supply aligned with clinical demand. </w:t>
      </w:r>
      <w:r w:rsidR="00172EB8">
        <w:rPr>
          <w:rFonts w:ascii="Arial" w:hAnsi="Arial" w:cs="Arial"/>
        </w:rPr>
        <w:t xml:space="preserve">In addition, we have sourced and provided key sets of surgical instruments needed by the hospital to improve the safety of the life-saving operations it performs; many of which are conducted by last year’s Staff Impact Award Winner, Surgical Community House Officer Ms. </w:t>
      </w:r>
      <w:proofErr w:type="spellStart"/>
      <w:r w:rsidR="00172EB8">
        <w:rPr>
          <w:rFonts w:ascii="Arial" w:hAnsi="Arial" w:cs="Arial"/>
        </w:rPr>
        <w:t>Asanatu</w:t>
      </w:r>
      <w:proofErr w:type="spellEnd"/>
      <w:r w:rsidR="00172EB8">
        <w:rPr>
          <w:rFonts w:ascii="Arial" w:hAnsi="Arial" w:cs="Arial"/>
        </w:rPr>
        <w:t xml:space="preserve"> Kamanda </w:t>
      </w:r>
      <w:proofErr w:type="spellStart"/>
      <w:r w:rsidR="00172EB8">
        <w:rPr>
          <w:rFonts w:ascii="Arial" w:hAnsi="Arial" w:cs="Arial"/>
        </w:rPr>
        <w:t>Bongay</w:t>
      </w:r>
      <w:proofErr w:type="spellEnd"/>
      <w:r w:rsidR="00172EB8">
        <w:rPr>
          <w:rFonts w:ascii="Arial" w:hAnsi="Arial" w:cs="Arial"/>
        </w:rPr>
        <w:t>.</w:t>
      </w:r>
    </w:p>
    <w:p w14:paraId="2D466A57" w14:textId="7806F1D6" w:rsidR="00511924" w:rsidRPr="005E30EB" w:rsidRDefault="00511924" w:rsidP="00511924">
      <w:pPr>
        <w:rPr>
          <w:rFonts w:ascii="Arial" w:hAnsi="Arial" w:cs="Arial"/>
        </w:rPr>
      </w:pPr>
      <w:r w:rsidRPr="00511924">
        <w:rPr>
          <w:rFonts w:ascii="Arial" w:hAnsi="Arial" w:cs="Arial"/>
        </w:rPr>
        <w:t xml:space="preserve">Our programme of visiting clinicians continues, with Dr. David Kim scheduled to arrive in December 2025 to provide direct care and training. Although our conversion rate from </w:t>
      </w:r>
      <w:r w:rsidR="00C70A1D" w:rsidRPr="009A62E5">
        <w:rPr>
          <w:rFonts w:ascii="Arial" w:hAnsi="Arial" w:cs="Arial"/>
        </w:rPr>
        <w:t xml:space="preserve">initial expressions of </w:t>
      </w:r>
      <w:r w:rsidRPr="00511924">
        <w:rPr>
          <w:rFonts w:ascii="Arial" w:hAnsi="Arial" w:cs="Arial"/>
        </w:rPr>
        <w:t xml:space="preserve">interest through to in-country assignments for voluntary international healthcare workers is relatively low, thoughtful and robust recruitment processes have resulted in almost uniformly successful and productive placements. </w:t>
      </w:r>
    </w:p>
    <w:p w14:paraId="65394C55" w14:textId="77777777" w:rsidR="00511924" w:rsidRPr="005E30EB" w:rsidRDefault="00511924" w:rsidP="00511924">
      <w:pPr>
        <w:rPr>
          <w:rFonts w:ascii="Arial" w:hAnsi="Arial" w:cs="Arial"/>
        </w:rPr>
      </w:pPr>
      <w:r w:rsidRPr="00511924">
        <w:rPr>
          <w:rFonts w:ascii="Arial" w:hAnsi="Arial" w:cs="Arial"/>
        </w:rPr>
        <w:t xml:space="preserve">We began a collaboration with Nursing’s Edge (a US-based nursing education charity) to strengthen the educational offering available at the nursing school. Following a pilot visit this year, there is a working proposal for a regular 10–20-day training programme on the nursing process. The initial focus will be on hospital nursing staff, followed by integration into student teaching. In addition, in line with our commitment to continuing professional development, we provided a scholarship for staff member </w:t>
      </w:r>
      <w:proofErr w:type="spellStart"/>
      <w:r w:rsidRPr="00511924">
        <w:rPr>
          <w:rFonts w:ascii="Arial" w:hAnsi="Arial" w:cs="Arial"/>
        </w:rPr>
        <w:t>Jeita</w:t>
      </w:r>
      <w:proofErr w:type="spellEnd"/>
      <w:r w:rsidRPr="00511924">
        <w:rPr>
          <w:rFonts w:ascii="Arial" w:hAnsi="Arial" w:cs="Arial"/>
        </w:rPr>
        <w:t xml:space="preserve"> Sandi to undertake the State Registered Nursing course, building local capacity and leadership. </w:t>
      </w:r>
    </w:p>
    <w:p w14:paraId="0BC3BCD8" w14:textId="4C67057E" w:rsidR="00511924" w:rsidRPr="00511924" w:rsidRDefault="00511924" w:rsidP="00511924">
      <w:pPr>
        <w:rPr>
          <w:rFonts w:ascii="Arial" w:hAnsi="Arial" w:cs="Arial"/>
        </w:rPr>
      </w:pPr>
      <w:r w:rsidRPr="00511924">
        <w:rPr>
          <w:rFonts w:ascii="Arial" w:hAnsi="Arial" w:cs="Arial"/>
        </w:rPr>
        <w:t>We invested in infrastructure resilience by servicing the hospital’s solar system and installing a new charge controller to protect our prior investments and improve reliability. Preventative maintenance and local capacity-building remain priorities.</w:t>
      </w:r>
      <w:r w:rsidR="009A62E5">
        <w:rPr>
          <w:rFonts w:ascii="Arial" w:hAnsi="Arial" w:cs="Arial"/>
        </w:rPr>
        <w:t xml:space="preserve"> The Hospital</w:t>
      </w:r>
      <w:r w:rsidR="00936943">
        <w:rPr>
          <w:rFonts w:ascii="Arial" w:hAnsi="Arial" w:cs="Arial"/>
        </w:rPr>
        <w:t>’s</w:t>
      </w:r>
      <w:r w:rsidR="009A62E5">
        <w:rPr>
          <w:rFonts w:ascii="Arial" w:hAnsi="Arial" w:cs="Arial"/>
        </w:rPr>
        <w:t xml:space="preserve"> </w:t>
      </w:r>
      <w:r w:rsidR="00427CCC">
        <w:rPr>
          <w:rFonts w:ascii="Arial" w:hAnsi="Arial" w:cs="Arial"/>
        </w:rPr>
        <w:t>m</w:t>
      </w:r>
      <w:r w:rsidR="009A62E5">
        <w:rPr>
          <w:rFonts w:ascii="Arial" w:hAnsi="Arial" w:cs="Arial"/>
        </w:rPr>
        <w:t>ortuary the Trust supported has been completed with chambers installed. However, ensuring its operational use does not impact negatively upon the co-existing electrical needs of the hospital remains a challenge.</w:t>
      </w:r>
    </w:p>
    <w:p w14:paraId="3D09C060" w14:textId="0005AA76" w:rsidR="00511924" w:rsidRPr="005E30EB" w:rsidRDefault="00511924" w:rsidP="00511924">
      <w:pPr>
        <w:rPr>
          <w:rFonts w:ascii="Arial" w:hAnsi="Arial" w:cs="Arial"/>
          <w:b/>
          <w:bCs/>
        </w:rPr>
      </w:pPr>
      <w:r w:rsidRPr="00511924">
        <w:rPr>
          <w:rFonts w:ascii="Arial" w:hAnsi="Arial" w:cs="Arial"/>
          <w:b/>
          <w:bCs/>
        </w:rPr>
        <w:t xml:space="preserve">Priorities for 2026 </w:t>
      </w:r>
    </w:p>
    <w:p w14:paraId="6F305AF2" w14:textId="3374D38E" w:rsidR="00511924" w:rsidRPr="00511924" w:rsidRDefault="00511924" w:rsidP="00511924">
      <w:pPr>
        <w:rPr>
          <w:rFonts w:ascii="Arial" w:hAnsi="Arial" w:cs="Arial"/>
        </w:rPr>
      </w:pPr>
      <w:r w:rsidRPr="00511924">
        <w:rPr>
          <w:rFonts w:ascii="Arial" w:hAnsi="Arial" w:cs="Arial"/>
        </w:rPr>
        <w:t>Following successful dental outreach work at the hospital in 2024, we have advanced plans with the non-governmental organi</w:t>
      </w:r>
      <w:r w:rsidR="00427CCC">
        <w:rPr>
          <w:rFonts w:ascii="Arial" w:hAnsi="Arial" w:cs="Arial"/>
        </w:rPr>
        <w:t>s</w:t>
      </w:r>
      <w:r w:rsidRPr="00511924">
        <w:rPr>
          <w:rFonts w:ascii="Arial" w:hAnsi="Arial" w:cs="Arial"/>
        </w:rPr>
        <w:t>ation Oral Health Africa Initiative to further address the substantial unmet need in dental health. The first phase, community health education, is scheduled for early 2026, with a phased approach to service development over the next 2 years. We hope to deepen our collaboration with Nursing’s Edge and embed excellence in health education within the nursing school and hospital. Programmes to address malnutrition and provide reliable pharmacy operations are planned to continue using established secure supply chains. Together with our voluntary healthcare programme, these activities ensure that direct patient benefit remains at the centre of what we do. We will also ensure previous Friends of Nixon projects, including the Ultrasound Service, remain operational, with plans for the procurement of a new ultrasound probe in progress. Further focus will be directed towards solar and electrical maintenance to underpin safe healthcare delivery, and we remain responsive to the hospital’s needs, with ongoing discussions about vehicle support.</w:t>
      </w:r>
    </w:p>
    <w:p w14:paraId="09BA4101" w14:textId="77777777" w:rsidR="00511924" w:rsidRPr="005E30EB" w:rsidRDefault="00511924" w:rsidP="00511924">
      <w:pPr>
        <w:rPr>
          <w:rFonts w:ascii="Arial" w:hAnsi="Arial" w:cs="Arial"/>
          <w:b/>
          <w:bCs/>
        </w:rPr>
      </w:pPr>
      <w:r w:rsidRPr="00511924">
        <w:rPr>
          <w:rFonts w:ascii="Arial" w:hAnsi="Arial" w:cs="Arial"/>
          <w:b/>
          <w:bCs/>
        </w:rPr>
        <w:t xml:space="preserve">Conclusions </w:t>
      </w:r>
    </w:p>
    <w:p w14:paraId="30DB7413" w14:textId="77777777" w:rsidR="00172EB8" w:rsidRDefault="00511924" w:rsidP="005E30EB">
      <w:pPr>
        <w:rPr>
          <w:rFonts w:ascii="Arial" w:hAnsi="Arial" w:cs="Arial"/>
        </w:rPr>
      </w:pPr>
      <w:r w:rsidRPr="00511924">
        <w:rPr>
          <w:rFonts w:ascii="Arial" w:hAnsi="Arial" w:cs="Arial"/>
        </w:rPr>
        <w:t>It remains a privilege to facilitate our trustees and wider supporters in helping the hospital navigate and overcome the barriers to delivering comprehensive and sustainable healthcare in Eastern Sierra Leone. Despite much progress, there remains significant unmet need in the region, together with avoidable suffering and</w:t>
      </w:r>
      <w:r w:rsidR="00C70A1D">
        <w:rPr>
          <w:rFonts w:ascii="Arial" w:hAnsi="Arial" w:cs="Arial"/>
          <w:color w:val="C00000"/>
        </w:rPr>
        <w:t xml:space="preserve"> </w:t>
      </w:r>
      <w:r w:rsidR="00C70A1D" w:rsidRPr="00427CCC">
        <w:rPr>
          <w:rFonts w:ascii="Arial" w:hAnsi="Arial" w:cs="Arial"/>
        </w:rPr>
        <w:t>inequality</w:t>
      </w:r>
      <w:r w:rsidRPr="00427CCC">
        <w:rPr>
          <w:rFonts w:ascii="Arial" w:hAnsi="Arial" w:cs="Arial"/>
        </w:rPr>
        <w:t>.</w:t>
      </w:r>
      <w:r w:rsidRPr="00511924">
        <w:rPr>
          <w:rFonts w:ascii="Arial" w:hAnsi="Arial" w:cs="Arial"/>
        </w:rPr>
        <w:t xml:space="preserve"> We remain proactive in our ambitions but conscious of the need for continued learning as an organisation, balancing operational risk with the potential for vast benefit to the community within </w:t>
      </w:r>
      <w:proofErr w:type="spellStart"/>
      <w:r w:rsidRPr="00511924">
        <w:rPr>
          <w:rFonts w:ascii="Arial" w:hAnsi="Arial" w:cs="Arial"/>
        </w:rPr>
        <w:t>Segbwema</w:t>
      </w:r>
      <w:proofErr w:type="spellEnd"/>
      <w:r w:rsidRPr="00511924">
        <w:rPr>
          <w:rFonts w:ascii="Arial" w:hAnsi="Arial" w:cs="Arial"/>
        </w:rPr>
        <w:t xml:space="preserve">. Through building on our record of effective development and focussing on clearer role definition, expectations, and communication pathways with hospital leadership, we will continue to enact positive change. We thank the hospital leadership and staff, our volunteers, donors, and grant-making partners for their practical, </w:t>
      </w:r>
      <w:r w:rsidR="00F20CB4">
        <w:rPr>
          <w:rFonts w:ascii="Arial" w:hAnsi="Arial" w:cs="Arial"/>
        </w:rPr>
        <w:t>enduring</w:t>
      </w:r>
      <w:r w:rsidRPr="00511924">
        <w:rPr>
          <w:rFonts w:ascii="Arial" w:hAnsi="Arial" w:cs="Arial"/>
        </w:rPr>
        <w:t xml:space="preserve"> support. I have no doubt that together we are strengthening services in a measured, sustainable way for the </w:t>
      </w:r>
      <w:proofErr w:type="spellStart"/>
      <w:r w:rsidRPr="00511924">
        <w:rPr>
          <w:rFonts w:ascii="Arial" w:hAnsi="Arial" w:cs="Arial"/>
        </w:rPr>
        <w:t>Segbwema</w:t>
      </w:r>
      <w:proofErr w:type="spellEnd"/>
      <w:r w:rsidRPr="00511924">
        <w:rPr>
          <w:rFonts w:ascii="Arial" w:hAnsi="Arial" w:cs="Arial"/>
        </w:rPr>
        <w:t xml:space="preserve"> community.</w:t>
      </w:r>
    </w:p>
    <w:p w14:paraId="26206D44" w14:textId="64050D48" w:rsidR="005E30EB" w:rsidRDefault="005E30EB" w:rsidP="005E30EB">
      <w:pPr>
        <w:rPr>
          <w:rFonts w:ascii="Arial" w:hAnsi="Arial" w:cs="Arial"/>
        </w:rPr>
      </w:pPr>
      <w:r w:rsidRPr="00AF5FB9">
        <w:rPr>
          <w:rFonts w:ascii="Arial" w:hAnsi="Arial" w:cs="Arial"/>
        </w:rPr>
        <w:t xml:space="preserve">Dr. Rob </w:t>
      </w:r>
      <w:proofErr w:type="spellStart"/>
      <w:r w:rsidRPr="00AF5FB9">
        <w:rPr>
          <w:rFonts w:ascii="Arial" w:hAnsi="Arial" w:cs="Arial"/>
        </w:rPr>
        <w:t>Burnie,</w:t>
      </w:r>
      <w:proofErr w:type="spellEnd"/>
      <w:r w:rsidRPr="00AF5FB9">
        <w:rPr>
          <w:rFonts w:ascii="Arial" w:hAnsi="Arial" w:cs="Arial"/>
        </w:rPr>
        <w:t xml:space="preserve"> Chair</w:t>
      </w:r>
      <w:r w:rsidRPr="00AF5FB9">
        <w:rPr>
          <w:rFonts w:ascii="Arial" w:hAnsi="Arial" w:cs="Arial"/>
        </w:rPr>
        <w:br/>
        <w:t>Friends of Nixon Memorial Hospital</w:t>
      </w:r>
      <w:r w:rsidRPr="00AF5FB9">
        <w:rPr>
          <w:rFonts w:ascii="Arial" w:hAnsi="Arial" w:cs="Arial"/>
        </w:rPr>
        <w:br/>
      </w:r>
      <w:r w:rsidRPr="009F36F4">
        <w:rPr>
          <w:rFonts w:cstheme="minorHAnsi"/>
          <w:noProof/>
          <w:sz w:val="21"/>
          <w:szCs w:val="21"/>
        </w:rPr>
        <w:drawing>
          <wp:inline distT="0" distB="0" distL="0" distR="0" wp14:anchorId="0A60CFE9" wp14:editId="3F14CA27">
            <wp:extent cx="1219719" cy="492085"/>
            <wp:effectExtent l="0" t="0" r="0" b="3810"/>
            <wp:docPr id="885052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1331" cy="533080"/>
                    </a:xfrm>
                    <a:prstGeom prst="rect">
                      <a:avLst/>
                    </a:prstGeom>
                    <a:noFill/>
                    <a:ln>
                      <a:noFill/>
                    </a:ln>
                  </pic:spPr>
                </pic:pic>
              </a:graphicData>
            </a:graphic>
          </wp:inline>
        </w:drawing>
      </w:r>
      <w:r w:rsidRPr="00AF5FB9">
        <w:rPr>
          <w:rFonts w:ascii="Arial" w:hAnsi="Arial" w:cs="Arial"/>
        </w:rPr>
        <w:t xml:space="preserve"> </w:t>
      </w:r>
    </w:p>
    <w:p w14:paraId="3D1CA1B1" w14:textId="17A423EC" w:rsidR="003506FC" w:rsidRPr="00C0611E" w:rsidRDefault="005E30EB">
      <w:pPr>
        <w:rPr>
          <w:rFonts w:ascii="Arial" w:hAnsi="Arial" w:cs="Arial"/>
        </w:rPr>
      </w:pPr>
      <w:r w:rsidRPr="00AF5FB9">
        <w:rPr>
          <w:rFonts w:ascii="Arial" w:hAnsi="Arial" w:cs="Arial"/>
        </w:rPr>
        <w:t>29</w:t>
      </w:r>
      <w:r w:rsidR="00427CCC" w:rsidRPr="00427CCC">
        <w:rPr>
          <w:rFonts w:ascii="Arial" w:hAnsi="Arial" w:cs="Arial"/>
          <w:vertAlign w:val="superscript"/>
        </w:rPr>
        <w:t>th</w:t>
      </w:r>
      <w:r w:rsidRPr="00AF5FB9">
        <w:rPr>
          <w:rFonts w:ascii="Arial" w:hAnsi="Arial" w:cs="Arial"/>
        </w:rPr>
        <w:t xml:space="preserve"> November 2025</w:t>
      </w:r>
    </w:p>
    <w:sectPr w:rsidR="003506FC" w:rsidRPr="00C0611E" w:rsidSect="00CC70C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F5D7A"/>
    <w:multiLevelType w:val="multilevel"/>
    <w:tmpl w:val="970A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295030"/>
    <w:multiLevelType w:val="multilevel"/>
    <w:tmpl w:val="2ECC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051417">
    <w:abstractNumId w:val="0"/>
  </w:num>
  <w:num w:numId="2" w16cid:durableId="1893498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comments="0" w:insDel="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C19"/>
    <w:rsid w:val="000302A3"/>
    <w:rsid w:val="00063074"/>
    <w:rsid w:val="0006478A"/>
    <w:rsid w:val="00073E02"/>
    <w:rsid w:val="00093A38"/>
    <w:rsid w:val="0009541E"/>
    <w:rsid w:val="000D0101"/>
    <w:rsid w:val="000D1FE4"/>
    <w:rsid w:val="000E4A93"/>
    <w:rsid w:val="00101C37"/>
    <w:rsid w:val="00103A93"/>
    <w:rsid w:val="0010657F"/>
    <w:rsid w:val="00106598"/>
    <w:rsid w:val="00116295"/>
    <w:rsid w:val="00124534"/>
    <w:rsid w:val="001312B7"/>
    <w:rsid w:val="00136441"/>
    <w:rsid w:val="00137049"/>
    <w:rsid w:val="0014383A"/>
    <w:rsid w:val="00160706"/>
    <w:rsid w:val="00165A92"/>
    <w:rsid w:val="00172EB8"/>
    <w:rsid w:val="00177314"/>
    <w:rsid w:val="00184238"/>
    <w:rsid w:val="00197E57"/>
    <w:rsid w:val="001A1110"/>
    <w:rsid w:val="001A59EB"/>
    <w:rsid w:val="001C3383"/>
    <w:rsid w:val="001D51CD"/>
    <w:rsid w:val="00207B37"/>
    <w:rsid w:val="00216C7A"/>
    <w:rsid w:val="00241063"/>
    <w:rsid w:val="00241B70"/>
    <w:rsid w:val="00255FE1"/>
    <w:rsid w:val="00297511"/>
    <w:rsid w:val="002B628A"/>
    <w:rsid w:val="002C638C"/>
    <w:rsid w:val="002E1EE5"/>
    <w:rsid w:val="002F50A7"/>
    <w:rsid w:val="00311435"/>
    <w:rsid w:val="00321E28"/>
    <w:rsid w:val="003359AF"/>
    <w:rsid w:val="003506FC"/>
    <w:rsid w:val="00356B65"/>
    <w:rsid w:val="003572E2"/>
    <w:rsid w:val="003846C2"/>
    <w:rsid w:val="0039346B"/>
    <w:rsid w:val="003969B9"/>
    <w:rsid w:val="003A57EA"/>
    <w:rsid w:val="003B2B02"/>
    <w:rsid w:val="003D323E"/>
    <w:rsid w:val="003D39D1"/>
    <w:rsid w:val="003F33EF"/>
    <w:rsid w:val="003F4E75"/>
    <w:rsid w:val="003F7E2A"/>
    <w:rsid w:val="004062BC"/>
    <w:rsid w:val="00427CCC"/>
    <w:rsid w:val="004421D3"/>
    <w:rsid w:val="0046699B"/>
    <w:rsid w:val="00474AB1"/>
    <w:rsid w:val="00480A46"/>
    <w:rsid w:val="004A0A85"/>
    <w:rsid w:val="004B4BAB"/>
    <w:rsid w:val="004C26B1"/>
    <w:rsid w:val="004C6E80"/>
    <w:rsid w:val="004C77AB"/>
    <w:rsid w:val="004D005B"/>
    <w:rsid w:val="004E11CB"/>
    <w:rsid w:val="004E3DAB"/>
    <w:rsid w:val="00511924"/>
    <w:rsid w:val="00515F3C"/>
    <w:rsid w:val="00553007"/>
    <w:rsid w:val="0055601B"/>
    <w:rsid w:val="005706A0"/>
    <w:rsid w:val="00586979"/>
    <w:rsid w:val="00586C6B"/>
    <w:rsid w:val="005A647E"/>
    <w:rsid w:val="005C7C44"/>
    <w:rsid w:val="005D3B5F"/>
    <w:rsid w:val="005E30EB"/>
    <w:rsid w:val="005F3A64"/>
    <w:rsid w:val="00627661"/>
    <w:rsid w:val="00632ADD"/>
    <w:rsid w:val="006435D1"/>
    <w:rsid w:val="0064769F"/>
    <w:rsid w:val="0065446B"/>
    <w:rsid w:val="006664A2"/>
    <w:rsid w:val="00671BF0"/>
    <w:rsid w:val="0068299A"/>
    <w:rsid w:val="00693044"/>
    <w:rsid w:val="00694F70"/>
    <w:rsid w:val="006B15A9"/>
    <w:rsid w:val="006B2FDD"/>
    <w:rsid w:val="006D25F8"/>
    <w:rsid w:val="006D3C3E"/>
    <w:rsid w:val="006E5892"/>
    <w:rsid w:val="006F5C1F"/>
    <w:rsid w:val="0070719B"/>
    <w:rsid w:val="00754E09"/>
    <w:rsid w:val="0078567C"/>
    <w:rsid w:val="007A44BC"/>
    <w:rsid w:val="007A4F37"/>
    <w:rsid w:val="007B0EF5"/>
    <w:rsid w:val="007B7759"/>
    <w:rsid w:val="007C04AF"/>
    <w:rsid w:val="007C2BB3"/>
    <w:rsid w:val="007C459F"/>
    <w:rsid w:val="007C4D9D"/>
    <w:rsid w:val="007C7838"/>
    <w:rsid w:val="007F4C9B"/>
    <w:rsid w:val="00804D5B"/>
    <w:rsid w:val="008164EB"/>
    <w:rsid w:val="0082744C"/>
    <w:rsid w:val="008521DE"/>
    <w:rsid w:val="00863A15"/>
    <w:rsid w:val="0086683B"/>
    <w:rsid w:val="00872CF8"/>
    <w:rsid w:val="00887C2A"/>
    <w:rsid w:val="00891600"/>
    <w:rsid w:val="008917EE"/>
    <w:rsid w:val="008B04E1"/>
    <w:rsid w:val="008E0EFE"/>
    <w:rsid w:val="008F2EFE"/>
    <w:rsid w:val="008F4E05"/>
    <w:rsid w:val="00936943"/>
    <w:rsid w:val="00950C4B"/>
    <w:rsid w:val="00976269"/>
    <w:rsid w:val="009876A3"/>
    <w:rsid w:val="009A1540"/>
    <w:rsid w:val="009A3D73"/>
    <w:rsid w:val="009A62E5"/>
    <w:rsid w:val="009D79E2"/>
    <w:rsid w:val="009F36F4"/>
    <w:rsid w:val="00A02B53"/>
    <w:rsid w:val="00A2297E"/>
    <w:rsid w:val="00A32B81"/>
    <w:rsid w:val="00A414AA"/>
    <w:rsid w:val="00A4539C"/>
    <w:rsid w:val="00A47217"/>
    <w:rsid w:val="00A50CF1"/>
    <w:rsid w:val="00A54234"/>
    <w:rsid w:val="00A569F2"/>
    <w:rsid w:val="00A70F54"/>
    <w:rsid w:val="00A724F8"/>
    <w:rsid w:val="00A811C3"/>
    <w:rsid w:val="00A90118"/>
    <w:rsid w:val="00AA2A2D"/>
    <w:rsid w:val="00AC734B"/>
    <w:rsid w:val="00AE095F"/>
    <w:rsid w:val="00AE65C4"/>
    <w:rsid w:val="00AF18D8"/>
    <w:rsid w:val="00AF5FB9"/>
    <w:rsid w:val="00B04D32"/>
    <w:rsid w:val="00B170E9"/>
    <w:rsid w:val="00B2380D"/>
    <w:rsid w:val="00B57256"/>
    <w:rsid w:val="00B66796"/>
    <w:rsid w:val="00B75697"/>
    <w:rsid w:val="00B76232"/>
    <w:rsid w:val="00BA0A27"/>
    <w:rsid w:val="00BA3807"/>
    <w:rsid w:val="00BA797E"/>
    <w:rsid w:val="00BC2ED2"/>
    <w:rsid w:val="00BC764F"/>
    <w:rsid w:val="00BD4643"/>
    <w:rsid w:val="00BD4DA9"/>
    <w:rsid w:val="00BE4E3C"/>
    <w:rsid w:val="00C0611E"/>
    <w:rsid w:val="00C06539"/>
    <w:rsid w:val="00C27CBC"/>
    <w:rsid w:val="00C42E8F"/>
    <w:rsid w:val="00C44AEC"/>
    <w:rsid w:val="00C45722"/>
    <w:rsid w:val="00C47A9C"/>
    <w:rsid w:val="00C64053"/>
    <w:rsid w:val="00C649E2"/>
    <w:rsid w:val="00C65DF3"/>
    <w:rsid w:val="00C67C0A"/>
    <w:rsid w:val="00C70A1D"/>
    <w:rsid w:val="00C75822"/>
    <w:rsid w:val="00C75C21"/>
    <w:rsid w:val="00C85462"/>
    <w:rsid w:val="00C92E2A"/>
    <w:rsid w:val="00CA0A8C"/>
    <w:rsid w:val="00CA54B8"/>
    <w:rsid w:val="00CA5E12"/>
    <w:rsid w:val="00CC70C9"/>
    <w:rsid w:val="00D07CA0"/>
    <w:rsid w:val="00D16131"/>
    <w:rsid w:val="00D23D67"/>
    <w:rsid w:val="00D277BB"/>
    <w:rsid w:val="00D2795F"/>
    <w:rsid w:val="00D73FC4"/>
    <w:rsid w:val="00D85FDC"/>
    <w:rsid w:val="00DA7870"/>
    <w:rsid w:val="00DB290D"/>
    <w:rsid w:val="00DB3282"/>
    <w:rsid w:val="00DE78B8"/>
    <w:rsid w:val="00E23201"/>
    <w:rsid w:val="00E26AD8"/>
    <w:rsid w:val="00E30384"/>
    <w:rsid w:val="00E3739C"/>
    <w:rsid w:val="00E44DA1"/>
    <w:rsid w:val="00E63108"/>
    <w:rsid w:val="00E70B7F"/>
    <w:rsid w:val="00E70CD1"/>
    <w:rsid w:val="00E7133B"/>
    <w:rsid w:val="00E86E90"/>
    <w:rsid w:val="00E9684D"/>
    <w:rsid w:val="00EA5197"/>
    <w:rsid w:val="00EE1C19"/>
    <w:rsid w:val="00F14BFC"/>
    <w:rsid w:val="00F20CB4"/>
    <w:rsid w:val="00F23EE1"/>
    <w:rsid w:val="00F27AB2"/>
    <w:rsid w:val="00F367B4"/>
    <w:rsid w:val="00F378A4"/>
    <w:rsid w:val="00F44120"/>
    <w:rsid w:val="00F554FA"/>
    <w:rsid w:val="00F664A4"/>
    <w:rsid w:val="00F7320E"/>
    <w:rsid w:val="00F7470E"/>
    <w:rsid w:val="00F8793C"/>
    <w:rsid w:val="00F95CB8"/>
    <w:rsid w:val="00FB12E8"/>
    <w:rsid w:val="00FB3A06"/>
    <w:rsid w:val="00FC4824"/>
    <w:rsid w:val="00FD338A"/>
    <w:rsid w:val="00FE52A9"/>
    <w:rsid w:val="00FF6A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B3A21"/>
  <w15:chartTrackingRefBased/>
  <w15:docId w15:val="{4D816AF2-4053-4BB7-8A18-A930DD8B8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1msonormal">
    <w:name w:val="v1msonormal"/>
    <w:basedOn w:val="Normal"/>
    <w:rsid w:val="00103A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iPriority w:val="99"/>
    <w:unhideWhenUsed/>
    <w:rsid w:val="00FD338A"/>
    <w:rPr>
      <w:rFonts w:ascii="Calibri" w:eastAsia="SimSun" w:hAnsi="Calibri" w:cs="Times New Roman"/>
      <w:color w:val="0563C1"/>
      <w:u w:val="single"/>
    </w:rPr>
  </w:style>
  <w:style w:type="character" w:styleId="UnresolvedMention">
    <w:name w:val="Unresolved Mention"/>
    <w:basedOn w:val="DefaultParagraphFont"/>
    <w:uiPriority w:val="99"/>
    <w:semiHidden/>
    <w:unhideWhenUsed/>
    <w:rsid w:val="00124534"/>
    <w:rPr>
      <w:color w:val="605E5C"/>
      <w:shd w:val="clear" w:color="auto" w:fill="E1DFDD"/>
    </w:rPr>
  </w:style>
  <w:style w:type="paragraph" w:styleId="NoSpacing">
    <w:name w:val="No Spacing"/>
    <w:uiPriority w:val="1"/>
    <w:qFormat/>
    <w:rsid w:val="00FE52A9"/>
    <w:pPr>
      <w:spacing w:after="0" w:line="240" w:lineRule="auto"/>
    </w:pPr>
    <w:rPr>
      <w:kern w:val="2"/>
      <w:sz w:val="24"/>
      <w:szCs w:val="24"/>
      <w14:ligatures w14:val="standardContextual"/>
    </w:rPr>
  </w:style>
  <w:style w:type="table" w:styleId="TableGrid">
    <w:name w:val="Table Grid"/>
    <w:basedOn w:val="TableNormal"/>
    <w:uiPriority w:val="39"/>
    <w:rsid w:val="00FE52A9"/>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66297">
      <w:bodyDiv w:val="1"/>
      <w:marLeft w:val="0"/>
      <w:marRight w:val="0"/>
      <w:marTop w:val="0"/>
      <w:marBottom w:val="0"/>
      <w:divBdr>
        <w:top w:val="none" w:sz="0" w:space="0" w:color="auto"/>
        <w:left w:val="none" w:sz="0" w:space="0" w:color="auto"/>
        <w:bottom w:val="none" w:sz="0" w:space="0" w:color="auto"/>
        <w:right w:val="none" w:sz="0" w:space="0" w:color="auto"/>
      </w:divBdr>
      <w:divsChild>
        <w:div w:id="7493002">
          <w:marLeft w:val="0"/>
          <w:marRight w:val="0"/>
          <w:marTop w:val="0"/>
          <w:marBottom w:val="160"/>
          <w:divBdr>
            <w:top w:val="none" w:sz="0" w:space="0" w:color="auto"/>
            <w:left w:val="none" w:sz="0" w:space="0" w:color="auto"/>
            <w:bottom w:val="none" w:sz="0" w:space="0" w:color="auto"/>
            <w:right w:val="none" w:sz="0" w:space="0" w:color="auto"/>
          </w:divBdr>
        </w:div>
        <w:div w:id="17046015">
          <w:marLeft w:val="0"/>
          <w:marRight w:val="0"/>
          <w:marTop w:val="0"/>
          <w:marBottom w:val="160"/>
          <w:divBdr>
            <w:top w:val="none" w:sz="0" w:space="0" w:color="auto"/>
            <w:left w:val="none" w:sz="0" w:space="0" w:color="auto"/>
            <w:bottom w:val="none" w:sz="0" w:space="0" w:color="auto"/>
            <w:right w:val="none" w:sz="0" w:space="0" w:color="auto"/>
          </w:divBdr>
        </w:div>
        <w:div w:id="24406905">
          <w:marLeft w:val="0"/>
          <w:marRight w:val="0"/>
          <w:marTop w:val="0"/>
          <w:marBottom w:val="160"/>
          <w:divBdr>
            <w:top w:val="none" w:sz="0" w:space="0" w:color="auto"/>
            <w:left w:val="none" w:sz="0" w:space="0" w:color="auto"/>
            <w:bottom w:val="none" w:sz="0" w:space="0" w:color="auto"/>
            <w:right w:val="none" w:sz="0" w:space="0" w:color="auto"/>
          </w:divBdr>
        </w:div>
        <w:div w:id="230384139">
          <w:marLeft w:val="0"/>
          <w:marRight w:val="0"/>
          <w:marTop w:val="0"/>
          <w:marBottom w:val="160"/>
          <w:divBdr>
            <w:top w:val="none" w:sz="0" w:space="0" w:color="auto"/>
            <w:left w:val="none" w:sz="0" w:space="0" w:color="auto"/>
            <w:bottom w:val="none" w:sz="0" w:space="0" w:color="auto"/>
            <w:right w:val="none" w:sz="0" w:space="0" w:color="auto"/>
          </w:divBdr>
        </w:div>
        <w:div w:id="412774487">
          <w:marLeft w:val="0"/>
          <w:marRight w:val="0"/>
          <w:marTop w:val="0"/>
          <w:marBottom w:val="160"/>
          <w:divBdr>
            <w:top w:val="none" w:sz="0" w:space="0" w:color="auto"/>
            <w:left w:val="none" w:sz="0" w:space="0" w:color="auto"/>
            <w:bottom w:val="none" w:sz="0" w:space="0" w:color="auto"/>
            <w:right w:val="none" w:sz="0" w:space="0" w:color="auto"/>
          </w:divBdr>
        </w:div>
        <w:div w:id="447042872">
          <w:marLeft w:val="0"/>
          <w:marRight w:val="0"/>
          <w:marTop w:val="0"/>
          <w:marBottom w:val="160"/>
          <w:divBdr>
            <w:top w:val="none" w:sz="0" w:space="0" w:color="auto"/>
            <w:left w:val="none" w:sz="0" w:space="0" w:color="auto"/>
            <w:bottom w:val="none" w:sz="0" w:space="0" w:color="auto"/>
            <w:right w:val="none" w:sz="0" w:space="0" w:color="auto"/>
          </w:divBdr>
        </w:div>
        <w:div w:id="467749192">
          <w:marLeft w:val="0"/>
          <w:marRight w:val="0"/>
          <w:marTop w:val="0"/>
          <w:marBottom w:val="160"/>
          <w:divBdr>
            <w:top w:val="none" w:sz="0" w:space="0" w:color="auto"/>
            <w:left w:val="none" w:sz="0" w:space="0" w:color="auto"/>
            <w:bottom w:val="none" w:sz="0" w:space="0" w:color="auto"/>
            <w:right w:val="none" w:sz="0" w:space="0" w:color="auto"/>
          </w:divBdr>
        </w:div>
        <w:div w:id="647513426">
          <w:marLeft w:val="0"/>
          <w:marRight w:val="0"/>
          <w:marTop w:val="0"/>
          <w:marBottom w:val="160"/>
          <w:divBdr>
            <w:top w:val="none" w:sz="0" w:space="0" w:color="auto"/>
            <w:left w:val="none" w:sz="0" w:space="0" w:color="auto"/>
            <w:bottom w:val="none" w:sz="0" w:space="0" w:color="auto"/>
            <w:right w:val="none" w:sz="0" w:space="0" w:color="auto"/>
          </w:divBdr>
        </w:div>
        <w:div w:id="771127448">
          <w:marLeft w:val="0"/>
          <w:marRight w:val="0"/>
          <w:marTop w:val="0"/>
          <w:marBottom w:val="160"/>
          <w:divBdr>
            <w:top w:val="none" w:sz="0" w:space="0" w:color="auto"/>
            <w:left w:val="none" w:sz="0" w:space="0" w:color="auto"/>
            <w:bottom w:val="none" w:sz="0" w:space="0" w:color="auto"/>
            <w:right w:val="none" w:sz="0" w:space="0" w:color="auto"/>
          </w:divBdr>
        </w:div>
        <w:div w:id="971666060">
          <w:marLeft w:val="0"/>
          <w:marRight w:val="0"/>
          <w:marTop w:val="0"/>
          <w:marBottom w:val="160"/>
          <w:divBdr>
            <w:top w:val="none" w:sz="0" w:space="0" w:color="auto"/>
            <w:left w:val="none" w:sz="0" w:space="0" w:color="auto"/>
            <w:bottom w:val="none" w:sz="0" w:space="0" w:color="auto"/>
            <w:right w:val="none" w:sz="0" w:space="0" w:color="auto"/>
          </w:divBdr>
        </w:div>
        <w:div w:id="1003506215">
          <w:marLeft w:val="0"/>
          <w:marRight w:val="0"/>
          <w:marTop w:val="0"/>
          <w:marBottom w:val="160"/>
          <w:divBdr>
            <w:top w:val="none" w:sz="0" w:space="0" w:color="auto"/>
            <w:left w:val="none" w:sz="0" w:space="0" w:color="auto"/>
            <w:bottom w:val="none" w:sz="0" w:space="0" w:color="auto"/>
            <w:right w:val="none" w:sz="0" w:space="0" w:color="auto"/>
          </w:divBdr>
        </w:div>
        <w:div w:id="1062022850">
          <w:marLeft w:val="0"/>
          <w:marRight w:val="0"/>
          <w:marTop w:val="0"/>
          <w:marBottom w:val="160"/>
          <w:divBdr>
            <w:top w:val="none" w:sz="0" w:space="0" w:color="auto"/>
            <w:left w:val="none" w:sz="0" w:space="0" w:color="auto"/>
            <w:bottom w:val="none" w:sz="0" w:space="0" w:color="auto"/>
            <w:right w:val="none" w:sz="0" w:space="0" w:color="auto"/>
          </w:divBdr>
        </w:div>
        <w:div w:id="1071542310">
          <w:marLeft w:val="0"/>
          <w:marRight w:val="0"/>
          <w:marTop w:val="0"/>
          <w:marBottom w:val="160"/>
          <w:divBdr>
            <w:top w:val="none" w:sz="0" w:space="0" w:color="auto"/>
            <w:left w:val="none" w:sz="0" w:space="0" w:color="auto"/>
            <w:bottom w:val="none" w:sz="0" w:space="0" w:color="auto"/>
            <w:right w:val="none" w:sz="0" w:space="0" w:color="auto"/>
          </w:divBdr>
        </w:div>
        <w:div w:id="1261522945">
          <w:marLeft w:val="0"/>
          <w:marRight w:val="0"/>
          <w:marTop w:val="0"/>
          <w:marBottom w:val="160"/>
          <w:divBdr>
            <w:top w:val="none" w:sz="0" w:space="0" w:color="auto"/>
            <w:left w:val="none" w:sz="0" w:space="0" w:color="auto"/>
            <w:bottom w:val="none" w:sz="0" w:space="0" w:color="auto"/>
            <w:right w:val="none" w:sz="0" w:space="0" w:color="auto"/>
          </w:divBdr>
        </w:div>
        <w:div w:id="1283611840">
          <w:marLeft w:val="0"/>
          <w:marRight w:val="0"/>
          <w:marTop w:val="0"/>
          <w:marBottom w:val="160"/>
          <w:divBdr>
            <w:top w:val="none" w:sz="0" w:space="0" w:color="auto"/>
            <w:left w:val="none" w:sz="0" w:space="0" w:color="auto"/>
            <w:bottom w:val="none" w:sz="0" w:space="0" w:color="auto"/>
            <w:right w:val="none" w:sz="0" w:space="0" w:color="auto"/>
          </w:divBdr>
        </w:div>
        <w:div w:id="1351444612">
          <w:marLeft w:val="0"/>
          <w:marRight w:val="0"/>
          <w:marTop w:val="0"/>
          <w:marBottom w:val="160"/>
          <w:divBdr>
            <w:top w:val="none" w:sz="0" w:space="0" w:color="auto"/>
            <w:left w:val="none" w:sz="0" w:space="0" w:color="auto"/>
            <w:bottom w:val="none" w:sz="0" w:space="0" w:color="auto"/>
            <w:right w:val="none" w:sz="0" w:space="0" w:color="auto"/>
          </w:divBdr>
        </w:div>
        <w:div w:id="1401636205">
          <w:marLeft w:val="0"/>
          <w:marRight w:val="0"/>
          <w:marTop w:val="0"/>
          <w:marBottom w:val="160"/>
          <w:divBdr>
            <w:top w:val="none" w:sz="0" w:space="0" w:color="auto"/>
            <w:left w:val="none" w:sz="0" w:space="0" w:color="auto"/>
            <w:bottom w:val="none" w:sz="0" w:space="0" w:color="auto"/>
            <w:right w:val="none" w:sz="0" w:space="0" w:color="auto"/>
          </w:divBdr>
        </w:div>
        <w:div w:id="1464694627">
          <w:marLeft w:val="0"/>
          <w:marRight w:val="0"/>
          <w:marTop w:val="0"/>
          <w:marBottom w:val="160"/>
          <w:divBdr>
            <w:top w:val="none" w:sz="0" w:space="0" w:color="auto"/>
            <w:left w:val="none" w:sz="0" w:space="0" w:color="auto"/>
            <w:bottom w:val="none" w:sz="0" w:space="0" w:color="auto"/>
            <w:right w:val="none" w:sz="0" w:space="0" w:color="auto"/>
          </w:divBdr>
        </w:div>
        <w:div w:id="1525824340">
          <w:marLeft w:val="0"/>
          <w:marRight w:val="0"/>
          <w:marTop w:val="0"/>
          <w:marBottom w:val="160"/>
          <w:divBdr>
            <w:top w:val="none" w:sz="0" w:space="0" w:color="auto"/>
            <w:left w:val="none" w:sz="0" w:space="0" w:color="auto"/>
            <w:bottom w:val="none" w:sz="0" w:space="0" w:color="auto"/>
            <w:right w:val="none" w:sz="0" w:space="0" w:color="auto"/>
          </w:divBdr>
        </w:div>
        <w:div w:id="1618178297">
          <w:marLeft w:val="0"/>
          <w:marRight w:val="0"/>
          <w:marTop w:val="0"/>
          <w:marBottom w:val="160"/>
          <w:divBdr>
            <w:top w:val="none" w:sz="0" w:space="0" w:color="auto"/>
            <w:left w:val="none" w:sz="0" w:space="0" w:color="auto"/>
            <w:bottom w:val="none" w:sz="0" w:space="0" w:color="auto"/>
            <w:right w:val="none" w:sz="0" w:space="0" w:color="auto"/>
          </w:divBdr>
        </w:div>
        <w:div w:id="1640500308">
          <w:marLeft w:val="0"/>
          <w:marRight w:val="0"/>
          <w:marTop w:val="0"/>
          <w:marBottom w:val="160"/>
          <w:divBdr>
            <w:top w:val="none" w:sz="0" w:space="0" w:color="auto"/>
            <w:left w:val="none" w:sz="0" w:space="0" w:color="auto"/>
            <w:bottom w:val="none" w:sz="0" w:space="0" w:color="auto"/>
            <w:right w:val="none" w:sz="0" w:space="0" w:color="auto"/>
          </w:divBdr>
        </w:div>
        <w:div w:id="1640570874">
          <w:marLeft w:val="0"/>
          <w:marRight w:val="0"/>
          <w:marTop w:val="0"/>
          <w:marBottom w:val="160"/>
          <w:divBdr>
            <w:top w:val="none" w:sz="0" w:space="0" w:color="auto"/>
            <w:left w:val="none" w:sz="0" w:space="0" w:color="auto"/>
            <w:bottom w:val="none" w:sz="0" w:space="0" w:color="auto"/>
            <w:right w:val="none" w:sz="0" w:space="0" w:color="auto"/>
          </w:divBdr>
        </w:div>
        <w:div w:id="1660112011">
          <w:marLeft w:val="0"/>
          <w:marRight w:val="0"/>
          <w:marTop w:val="0"/>
          <w:marBottom w:val="160"/>
          <w:divBdr>
            <w:top w:val="none" w:sz="0" w:space="0" w:color="auto"/>
            <w:left w:val="none" w:sz="0" w:space="0" w:color="auto"/>
            <w:bottom w:val="none" w:sz="0" w:space="0" w:color="auto"/>
            <w:right w:val="none" w:sz="0" w:space="0" w:color="auto"/>
          </w:divBdr>
        </w:div>
        <w:div w:id="1739202908">
          <w:marLeft w:val="0"/>
          <w:marRight w:val="0"/>
          <w:marTop w:val="0"/>
          <w:marBottom w:val="160"/>
          <w:divBdr>
            <w:top w:val="none" w:sz="0" w:space="0" w:color="auto"/>
            <w:left w:val="none" w:sz="0" w:space="0" w:color="auto"/>
            <w:bottom w:val="none" w:sz="0" w:space="0" w:color="auto"/>
            <w:right w:val="none" w:sz="0" w:space="0" w:color="auto"/>
          </w:divBdr>
        </w:div>
        <w:div w:id="1948735096">
          <w:marLeft w:val="0"/>
          <w:marRight w:val="0"/>
          <w:marTop w:val="0"/>
          <w:marBottom w:val="160"/>
          <w:divBdr>
            <w:top w:val="none" w:sz="0" w:space="0" w:color="auto"/>
            <w:left w:val="none" w:sz="0" w:space="0" w:color="auto"/>
            <w:bottom w:val="none" w:sz="0" w:space="0" w:color="auto"/>
            <w:right w:val="none" w:sz="0" w:space="0" w:color="auto"/>
          </w:divBdr>
        </w:div>
        <w:div w:id="1990405954">
          <w:marLeft w:val="0"/>
          <w:marRight w:val="0"/>
          <w:marTop w:val="0"/>
          <w:marBottom w:val="160"/>
          <w:divBdr>
            <w:top w:val="none" w:sz="0" w:space="0" w:color="auto"/>
            <w:left w:val="none" w:sz="0" w:space="0" w:color="auto"/>
            <w:bottom w:val="none" w:sz="0" w:space="0" w:color="auto"/>
            <w:right w:val="none" w:sz="0" w:space="0" w:color="auto"/>
          </w:divBdr>
        </w:div>
        <w:div w:id="2024353931">
          <w:marLeft w:val="0"/>
          <w:marRight w:val="0"/>
          <w:marTop w:val="0"/>
          <w:marBottom w:val="160"/>
          <w:divBdr>
            <w:top w:val="none" w:sz="0" w:space="0" w:color="auto"/>
            <w:left w:val="none" w:sz="0" w:space="0" w:color="auto"/>
            <w:bottom w:val="none" w:sz="0" w:space="0" w:color="auto"/>
            <w:right w:val="none" w:sz="0" w:space="0" w:color="auto"/>
          </w:divBdr>
        </w:div>
      </w:divsChild>
    </w:div>
    <w:div w:id="614093649">
      <w:bodyDiv w:val="1"/>
      <w:marLeft w:val="0"/>
      <w:marRight w:val="0"/>
      <w:marTop w:val="0"/>
      <w:marBottom w:val="0"/>
      <w:divBdr>
        <w:top w:val="none" w:sz="0" w:space="0" w:color="auto"/>
        <w:left w:val="none" w:sz="0" w:space="0" w:color="auto"/>
        <w:bottom w:val="none" w:sz="0" w:space="0" w:color="auto"/>
        <w:right w:val="none" w:sz="0" w:space="0" w:color="auto"/>
      </w:divBdr>
    </w:div>
    <w:div w:id="1235974090">
      <w:bodyDiv w:val="1"/>
      <w:marLeft w:val="0"/>
      <w:marRight w:val="0"/>
      <w:marTop w:val="0"/>
      <w:marBottom w:val="0"/>
      <w:divBdr>
        <w:top w:val="none" w:sz="0" w:space="0" w:color="auto"/>
        <w:left w:val="none" w:sz="0" w:space="0" w:color="auto"/>
        <w:bottom w:val="none" w:sz="0" w:space="0" w:color="auto"/>
        <w:right w:val="none" w:sz="0" w:space="0" w:color="auto"/>
      </w:divBdr>
      <w:divsChild>
        <w:div w:id="72090162">
          <w:marLeft w:val="0"/>
          <w:marRight w:val="0"/>
          <w:marTop w:val="0"/>
          <w:marBottom w:val="160"/>
          <w:divBdr>
            <w:top w:val="none" w:sz="0" w:space="0" w:color="auto"/>
            <w:left w:val="none" w:sz="0" w:space="0" w:color="auto"/>
            <w:bottom w:val="none" w:sz="0" w:space="0" w:color="auto"/>
            <w:right w:val="none" w:sz="0" w:space="0" w:color="auto"/>
          </w:divBdr>
        </w:div>
        <w:div w:id="110368446">
          <w:marLeft w:val="0"/>
          <w:marRight w:val="0"/>
          <w:marTop w:val="0"/>
          <w:marBottom w:val="160"/>
          <w:divBdr>
            <w:top w:val="none" w:sz="0" w:space="0" w:color="auto"/>
            <w:left w:val="none" w:sz="0" w:space="0" w:color="auto"/>
            <w:bottom w:val="none" w:sz="0" w:space="0" w:color="auto"/>
            <w:right w:val="none" w:sz="0" w:space="0" w:color="auto"/>
          </w:divBdr>
        </w:div>
        <w:div w:id="226453209">
          <w:marLeft w:val="0"/>
          <w:marRight w:val="0"/>
          <w:marTop w:val="0"/>
          <w:marBottom w:val="160"/>
          <w:divBdr>
            <w:top w:val="none" w:sz="0" w:space="0" w:color="auto"/>
            <w:left w:val="none" w:sz="0" w:space="0" w:color="auto"/>
            <w:bottom w:val="none" w:sz="0" w:space="0" w:color="auto"/>
            <w:right w:val="none" w:sz="0" w:space="0" w:color="auto"/>
          </w:divBdr>
        </w:div>
        <w:div w:id="258487268">
          <w:marLeft w:val="0"/>
          <w:marRight w:val="0"/>
          <w:marTop w:val="0"/>
          <w:marBottom w:val="160"/>
          <w:divBdr>
            <w:top w:val="none" w:sz="0" w:space="0" w:color="auto"/>
            <w:left w:val="none" w:sz="0" w:space="0" w:color="auto"/>
            <w:bottom w:val="none" w:sz="0" w:space="0" w:color="auto"/>
            <w:right w:val="none" w:sz="0" w:space="0" w:color="auto"/>
          </w:divBdr>
        </w:div>
        <w:div w:id="291635434">
          <w:marLeft w:val="0"/>
          <w:marRight w:val="0"/>
          <w:marTop w:val="0"/>
          <w:marBottom w:val="160"/>
          <w:divBdr>
            <w:top w:val="none" w:sz="0" w:space="0" w:color="auto"/>
            <w:left w:val="none" w:sz="0" w:space="0" w:color="auto"/>
            <w:bottom w:val="none" w:sz="0" w:space="0" w:color="auto"/>
            <w:right w:val="none" w:sz="0" w:space="0" w:color="auto"/>
          </w:divBdr>
        </w:div>
        <w:div w:id="535774239">
          <w:marLeft w:val="0"/>
          <w:marRight w:val="0"/>
          <w:marTop w:val="0"/>
          <w:marBottom w:val="160"/>
          <w:divBdr>
            <w:top w:val="none" w:sz="0" w:space="0" w:color="auto"/>
            <w:left w:val="none" w:sz="0" w:space="0" w:color="auto"/>
            <w:bottom w:val="none" w:sz="0" w:space="0" w:color="auto"/>
            <w:right w:val="none" w:sz="0" w:space="0" w:color="auto"/>
          </w:divBdr>
        </w:div>
        <w:div w:id="558519749">
          <w:marLeft w:val="0"/>
          <w:marRight w:val="0"/>
          <w:marTop w:val="0"/>
          <w:marBottom w:val="160"/>
          <w:divBdr>
            <w:top w:val="none" w:sz="0" w:space="0" w:color="auto"/>
            <w:left w:val="none" w:sz="0" w:space="0" w:color="auto"/>
            <w:bottom w:val="none" w:sz="0" w:space="0" w:color="auto"/>
            <w:right w:val="none" w:sz="0" w:space="0" w:color="auto"/>
          </w:divBdr>
        </w:div>
        <w:div w:id="594360899">
          <w:marLeft w:val="0"/>
          <w:marRight w:val="0"/>
          <w:marTop w:val="0"/>
          <w:marBottom w:val="160"/>
          <w:divBdr>
            <w:top w:val="none" w:sz="0" w:space="0" w:color="auto"/>
            <w:left w:val="none" w:sz="0" w:space="0" w:color="auto"/>
            <w:bottom w:val="none" w:sz="0" w:space="0" w:color="auto"/>
            <w:right w:val="none" w:sz="0" w:space="0" w:color="auto"/>
          </w:divBdr>
        </w:div>
        <w:div w:id="660622840">
          <w:marLeft w:val="0"/>
          <w:marRight w:val="0"/>
          <w:marTop w:val="0"/>
          <w:marBottom w:val="160"/>
          <w:divBdr>
            <w:top w:val="none" w:sz="0" w:space="0" w:color="auto"/>
            <w:left w:val="none" w:sz="0" w:space="0" w:color="auto"/>
            <w:bottom w:val="none" w:sz="0" w:space="0" w:color="auto"/>
            <w:right w:val="none" w:sz="0" w:space="0" w:color="auto"/>
          </w:divBdr>
        </w:div>
        <w:div w:id="709886832">
          <w:marLeft w:val="0"/>
          <w:marRight w:val="0"/>
          <w:marTop w:val="0"/>
          <w:marBottom w:val="160"/>
          <w:divBdr>
            <w:top w:val="none" w:sz="0" w:space="0" w:color="auto"/>
            <w:left w:val="none" w:sz="0" w:space="0" w:color="auto"/>
            <w:bottom w:val="none" w:sz="0" w:space="0" w:color="auto"/>
            <w:right w:val="none" w:sz="0" w:space="0" w:color="auto"/>
          </w:divBdr>
        </w:div>
        <w:div w:id="807014350">
          <w:marLeft w:val="0"/>
          <w:marRight w:val="0"/>
          <w:marTop w:val="0"/>
          <w:marBottom w:val="160"/>
          <w:divBdr>
            <w:top w:val="none" w:sz="0" w:space="0" w:color="auto"/>
            <w:left w:val="none" w:sz="0" w:space="0" w:color="auto"/>
            <w:bottom w:val="none" w:sz="0" w:space="0" w:color="auto"/>
            <w:right w:val="none" w:sz="0" w:space="0" w:color="auto"/>
          </w:divBdr>
        </w:div>
        <w:div w:id="974916895">
          <w:marLeft w:val="0"/>
          <w:marRight w:val="0"/>
          <w:marTop w:val="0"/>
          <w:marBottom w:val="160"/>
          <w:divBdr>
            <w:top w:val="none" w:sz="0" w:space="0" w:color="auto"/>
            <w:left w:val="none" w:sz="0" w:space="0" w:color="auto"/>
            <w:bottom w:val="none" w:sz="0" w:space="0" w:color="auto"/>
            <w:right w:val="none" w:sz="0" w:space="0" w:color="auto"/>
          </w:divBdr>
        </w:div>
        <w:div w:id="987175925">
          <w:marLeft w:val="0"/>
          <w:marRight w:val="0"/>
          <w:marTop w:val="0"/>
          <w:marBottom w:val="160"/>
          <w:divBdr>
            <w:top w:val="none" w:sz="0" w:space="0" w:color="auto"/>
            <w:left w:val="none" w:sz="0" w:space="0" w:color="auto"/>
            <w:bottom w:val="none" w:sz="0" w:space="0" w:color="auto"/>
            <w:right w:val="none" w:sz="0" w:space="0" w:color="auto"/>
          </w:divBdr>
        </w:div>
        <w:div w:id="1008093236">
          <w:marLeft w:val="0"/>
          <w:marRight w:val="0"/>
          <w:marTop w:val="0"/>
          <w:marBottom w:val="160"/>
          <w:divBdr>
            <w:top w:val="none" w:sz="0" w:space="0" w:color="auto"/>
            <w:left w:val="none" w:sz="0" w:space="0" w:color="auto"/>
            <w:bottom w:val="none" w:sz="0" w:space="0" w:color="auto"/>
            <w:right w:val="none" w:sz="0" w:space="0" w:color="auto"/>
          </w:divBdr>
        </w:div>
        <w:div w:id="1140423564">
          <w:marLeft w:val="0"/>
          <w:marRight w:val="0"/>
          <w:marTop w:val="0"/>
          <w:marBottom w:val="160"/>
          <w:divBdr>
            <w:top w:val="none" w:sz="0" w:space="0" w:color="auto"/>
            <w:left w:val="none" w:sz="0" w:space="0" w:color="auto"/>
            <w:bottom w:val="none" w:sz="0" w:space="0" w:color="auto"/>
            <w:right w:val="none" w:sz="0" w:space="0" w:color="auto"/>
          </w:divBdr>
        </w:div>
        <w:div w:id="1168013903">
          <w:marLeft w:val="0"/>
          <w:marRight w:val="0"/>
          <w:marTop w:val="0"/>
          <w:marBottom w:val="160"/>
          <w:divBdr>
            <w:top w:val="none" w:sz="0" w:space="0" w:color="auto"/>
            <w:left w:val="none" w:sz="0" w:space="0" w:color="auto"/>
            <w:bottom w:val="none" w:sz="0" w:space="0" w:color="auto"/>
            <w:right w:val="none" w:sz="0" w:space="0" w:color="auto"/>
          </w:divBdr>
        </w:div>
        <w:div w:id="1308390209">
          <w:marLeft w:val="0"/>
          <w:marRight w:val="0"/>
          <w:marTop w:val="0"/>
          <w:marBottom w:val="160"/>
          <w:divBdr>
            <w:top w:val="none" w:sz="0" w:space="0" w:color="auto"/>
            <w:left w:val="none" w:sz="0" w:space="0" w:color="auto"/>
            <w:bottom w:val="none" w:sz="0" w:space="0" w:color="auto"/>
            <w:right w:val="none" w:sz="0" w:space="0" w:color="auto"/>
          </w:divBdr>
        </w:div>
        <w:div w:id="1313945588">
          <w:marLeft w:val="0"/>
          <w:marRight w:val="0"/>
          <w:marTop w:val="0"/>
          <w:marBottom w:val="160"/>
          <w:divBdr>
            <w:top w:val="none" w:sz="0" w:space="0" w:color="auto"/>
            <w:left w:val="none" w:sz="0" w:space="0" w:color="auto"/>
            <w:bottom w:val="none" w:sz="0" w:space="0" w:color="auto"/>
            <w:right w:val="none" w:sz="0" w:space="0" w:color="auto"/>
          </w:divBdr>
        </w:div>
        <w:div w:id="1554729051">
          <w:marLeft w:val="0"/>
          <w:marRight w:val="0"/>
          <w:marTop w:val="0"/>
          <w:marBottom w:val="160"/>
          <w:divBdr>
            <w:top w:val="none" w:sz="0" w:space="0" w:color="auto"/>
            <w:left w:val="none" w:sz="0" w:space="0" w:color="auto"/>
            <w:bottom w:val="none" w:sz="0" w:space="0" w:color="auto"/>
            <w:right w:val="none" w:sz="0" w:space="0" w:color="auto"/>
          </w:divBdr>
        </w:div>
        <w:div w:id="1584726483">
          <w:marLeft w:val="0"/>
          <w:marRight w:val="0"/>
          <w:marTop w:val="0"/>
          <w:marBottom w:val="160"/>
          <w:divBdr>
            <w:top w:val="none" w:sz="0" w:space="0" w:color="auto"/>
            <w:left w:val="none" w:sz="0" w:space="0" w:color="auto"/>
            <w:bottom w:val="none" w:sz="0" w:space="0" w:color="auto"/>
            <w:right w:val="none" w:sz="0" w:space="0" w:color="auto"/>
          </w:divBdr>
        </w:div>
        <w:div w:id="1603950970">
          <w:marLeft w:val="0"/>
          <w:marRight w:val="0"/>
          <w:marTop w:val="0"/>
          <w:marBottom w:val="160"/>
          <w:divBdr>
            <w:top w:val="none" w:sz="0" w:space="0" w:color="auto"/>
            <w:left w:val="none" w:sz="0" w:space="0" w:color="auto"/>
            <w:bottom w:val="none" w:sz="0" w:space="0" w:color="auto"/>
            <w:right w:val="none" w:sz="0" w:space="0" w:color="auto"/>
          </w:divBdr>
        </w:div>
        <w:div w:id="1661696884">
          <w:marLeft w:val="0"/>
          <w:marRight w:val="0"/>
          <w:marTop w:val="0"/>
          <w:marBottom w:val="160"/>
          <w:divBdr>
            <w:top w:val="none" w:sz="0" w:space="0" w:color="auto"/>
            <w:left w:val="none" w:sz="0" w:space="0" w:color="auto"/>
            <w:bottom w:val="none" w:sz="0" w:space="0" w:color="auto"/>
            <w:right w:val="none" w:sz="0" w:space="0" w:color="auto"/>
          </w:divBdr>
        </w:div>
        <w:div w:id="1682469467">
          <w:marLeft w:val="0"/>
          <w:marRight w:val="0"/>
          <w:marTop w:val="0"/>
          <w:marBottom w:val="160"/>
          <w:divBdr>
            <w:top w:val="none" w:sz="0" w:space="0" w:color="auto"/>
            <w:left w:val="none" w:sz="0" w:space="0" w:color="auto"/>
            <w:bottom w:val="none" w:sz="0" w:space="0" w:color="auto"/>
            <w:right w:val="none" w:sz="0" w:space="0" w:color="auto"/>
          </w:divBdr>
        </w:div>
        <w:div w:id="1830907048">
          <w:marLeft w:val="0"/>
          <w:marRight w:val="0"/>
          <w:marTop w:val="0"/>
          <w:marBottom w:val="160"/>
          <w:divBdr>
            <w:top w:val="none" w:sz="0" w:space="0" w:color="auto"/>
            <w:left w:val="none" w:sz="0" w:space="0" w:color="auto"/>
            <w:bottom w:val="none" w:sz="0" w:space="0" w:color="auto"/>
            <w:right w:val="none" w:sz="0" w:space="0" w:color="auto"/>
          </w:divBdr>
        </w:div>
        <w:div w:id="1978148393">
          <w:marLeft w:val="0"/>
          <w:marRight w:val="0"/>
          <w:marTop w:val="0"/>
          <w:marBottom w:val="160"/>
          <w:divBdr>
            <w:top w:val="none" w:sz="0" w:space="0" w:color="auto"/>
            <w:left w:val="none" w:sz="0" w:space="0" w:color="auto"/>
            <w:bottom w:val="none" w:sz="0" w:space="0" w:color="auto"/>
            <w:right w:val="none" w:sz="0" w:space="0" w:color="auto"/>
          </w:divBdr>
        </w:div>
        <w:div w:id="2043482969">
          <w:marLeft w:val="0"/>
          <w:marRight w:val="0"/>
          <w:marTop w:val="0"/>
          <w:marBottom w:val="160"/>
          <w:divBdr>
            <w:top w:val="none" w:sz="0" w:space="0" w:color="auto"/>
            <w:left w:val="none" w:sz="0" w:space="0" w:color="auto"/>
            <w:bottom w:val="none" w:sz="0" w:space="0" w:color="auto"/>
            <w:right w:val="none" w:sz="0" w:space="0" w:color="auto"/>
          </w:divBdr>
        </w:div>
        <w:div w:id="2072918982">
          <w:marLeft w:val="0"/>
          <w:marRight w:val="0"/>
          <w:marTop w:val="0"/>
          <w:marBottom w:val="160"/>
          <w:divBdr>
            <w:top w:val="none" w:sz="0" w:space="0" w:color="auto"/>
            <w:left w:val="none" w:sz="0" w:space="0" w:color="auto"/>
            <w:bottom w:val="none" w:sz="0" w:space="0" w:color="auto"/>
            <w:right w:val="none" w:sz="0" w:space="0" w:color="auto"/>
          </w:divBdr>
        </w:div>
      </w:divsChild>
    </w:div>
    <w:div w:id="144245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riendsofnixon.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1199</Words>
  <Characters>6837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Burnie</dc:creator>
  <cp:keywords/>
  <dc:description/>
  <cp:lastModifiedBy>BURNIE, Robert (LEWISHAM AND GREENWICH NHS TRUST)</cp:lastModifiedBy>
  <cp:revision>2</cp:revision>
  <cp:lastPrinted>2024-11-30T08:32:00Z</cp:lastPrinted>
  <dcterms:created xsi:type="dcterms:W3CDTF">2025-12-03T15:11:00Z</dcterms:created>
  <dcterms:modified xsi:type="dcterms:W3CDTF">2025-12-03T15:11:00Z</dcterms:modified>
</cp:coreProperties>
</file>